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73" w:rsidRPr="00417873" w:rsidRDefault="00417873" w:rsidP="00417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73">
        <w:rPr>
          <w:rFonts w:ascii="Times New Roman" w:hAnsi="Times New Roman" w:cs="Times New Roman"/>
          <w:b/>
          <w:sz w:val="24"/>
          <w:szCs w:val="24"/>
        </w:rPr>
        <w:t>Актуальность темы и им</w:t>
      </w:r>
      <w:bookmarkStart w:id="0" w:name="_GoBack"/>
      <w:bookmarkEnd w:id="0"/>
      <w:r w:rsidRPr="00417873">
        <w:rPr>
          <w:rFonts w:ascii="Times New Roman" w:hAnsi="Times New Roman" w:cs="Times New Roman"/>
          <w:b/>
          <w:sz w:val="24"/>
          <w:szCs w:val="24"/>
        </w:rPr>
        <w:t>еющийся опыт работы</w:t>
      </w:r>
    </w:p>
    <w:p w:rsidR="00417873" w:rsidRPr="00417873" w:rsidRDefault="00417873" w:rsidP="00417873">
      <w:pPr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873">
        <w:rPr>
          <w:rFonts w:ascii="Times New Roman" w:hAnsi="Times New Roman" w:cs="Times New Roman"/>
          <w:sz w:val="24"/>
          <w:szCs w:val="24"/>
        </w:rPr>
        <w:t>Актуальность развития финансовой грамотности школьников обусловлена последствиями социально-экономического кризиса, втягивающего в экономические отношения и подрастающее поколение.</w:t>
      </w: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873">
        <w:rPr>
          <w:rFonts w:ascii="Times New Roman" w:hAnsi="Times New Roman" w:cs="Times New Roman"/>
          <w:sz w:val="24"/>
          <w:szCs w:val="24"/>
        </w:rPr>
        <w:t>Финансовая культура в современном развитом и быстро меняющемся мире стала еще одним жизненно необходимым элементом в системе компетенция и правил поведения. Дети рано включаются в экономическую жизнь семьи, сталкиваются с деньгами, рекламой, ходят с родителями в магазин, участвуют в купле-продаже и других финансово-экономических отношениях, овладевая финансовой компетентностью в личном опыте. У несовершеннолетних возникают ответно-защитные реакции подростков на процесс самостоятельного разрешения острых финансовых ситуаций, связанный с реализацией материальных и духовных потребностей.</w:t>
      </w: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873">
        <w:rPr>
          <w:rFonts w:ascii="Times New Roman" w:hAnsi="Times New Roman" w:cs="Times New Roman"/>
          <w:sz w:val="24"/>
          <w:szCs w:val="24"/>
        </w:rPr>
        <w:t xml:space="preserve">В современном обществе семья испытывает существенные трудности по ряду причин: усиливается расслоение семей по уровню </w:t>
      </w:r>
      <w:proofErr w:type="gramStart"/>
      <w:r w:rsidRPr="00417873">
        <w:rPr>
          <w:rFonts w:ascii="Times New Roman" w:hAnsi="Times New Roman" w:cs="Times New Roman"/>
          <w:sz w:val="24"/>
          <w:szCs w:val="24"/>
        </w:rPr>
        <w:t>доходов;  растет</w:t>
      </w:r>
      <w:proofErr w:type="gramEnd"/>
      <w:r w:rsidRPr="00417873">
        <w:rPr>
          <w:rFonts w:ascii="Times New Roman" w:hAnsi="Times New Roman" w:cs="Times New Roman"/>
          <w:sz w:val="24"/>
          <w:szCs w:val="24"/>
        </w:rPr>
        <w:t xml:space="preserve">  число  разводов; внебрачных  детей; разрушается традиционная структура семьи за счет  увеличения количества  </w:t>
      </w:r>
      <w:proofErr w:type="spellStart"/>
      <w:r w:rsidRPr="00417873">
        <w:rPr>
          <w:rFonts w:ascii="Times New Roman" w:hAnsi="Times New Roman" w:cs="Times New Roman"/>
          <w:sz w:val="24"/>
          <w:szCs w:val="24"/>
        </w:rPr>
        <w:t>непол-ных</w:t>
      </w:r>
      <w:proofErr w:type="spellEnd"/>
      <w:r w:rsidRPr="00417873">
        <w:rPr>
          <w:rFonts w:ascii="Times New Roman" w:hAnsi="Times New Roman" w:cs="Times New Roman"/>
          <w:sz w:val="24"/>
          <w:szCs w:val="24"/>
        </w:rPr>
        <w:t>, материнских, альтернативных, маргинальных семей. Между тем, каждая вторая российская семья за гранью прожиточного минимума.</w:t>
      </w: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873">
        <w:rPr>
          <w:rFonts w:ascii="Times New Roman" w:hAnsi="Times New Roman" w:cs="Times New Roman"/>
          <w:sz w:val="24"/>
          <w:szCs w:val="24"/>
        </w:rPr>
        <w:t>Финансовая грамотность – достаточный уровень знаний и навыков в области финансов, который позволяет правильно оценивать ситуацию на рынке и принимать разумные решения.</w:t>
      </w: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873">
        <w:rPr>
          <w:rFonts w:ascii="Times New Roman" w:hAnsi="Times New Roman" w:cs="Times New Roman"/>
          <w:sz w:val="24"/>
          <w:szCs w:val="24"/>
        </w:rPr>
        <w:t>Знание ключевых финансовых понятий и умение их использовать на практике дает возможность человеку грамотно управлять своими денежными средствами. То есть вести учет доходов и расходов, избегать излишней задолженности, планировать личный бюджет, создавать сбережения. А также ориентироваться в сложных продуктах, предлагаемых финансовыми институтами, и приобретать их на основе осознанного выбора. Наконец, использовать накопительные и страховые инструменты.</w:t>
      </w: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873">
        <w:rPr>
          <w:rFonts w:ascii="Times New Roman" w:hAnsi="Times New Roman" w:cs="Times New Roman"/>
          <w:sz w:val="24"/>
          <w:szCs w:val="24"/>
        </w:rPr>
        <w:t>Стоит отметить, что от общего уровня финансовой грамотности населения страны во многом зависит ее экономическое развитие. Низкий уровень таких знаний приводит к отрицательным последствиям не только для потребителей финансовых услуг, но и для государства, частного сектора и общества в целом. Поэтому разработка и внедрение программ по повышению финансовой грамотности населения – важное направление государственной политики во многих развитых странах. Высокий уровень осведомленности жителей в области финансов способствует социальной и экономической стабильности в стране. Рост финансовой грамотности приводит к снижению рисков излишней личной задолженности граждан по потребительским кредитам, сокращению рисков мошенничества со стороны недобросовестных участников рынка и т. д.</w:t>
      </w: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873">
        <w:rPr>
          <w:rFonts w:ascii="Times New Roman" w:hAnsi="Times New Roman" w:cs="Times New Roman"/>
          <w:sz w:val="24"/>
          <w:szCs w:val="24"/>
        </w:rPr>
        <w:t>В России финансовая грамотность находится на низком уровне. Лишь небольшая часть граждан ориентируется в услугах и продуктах, предлагаемых финансовыми институтами. Такая статистика показывает, что заниматься повышением финансовой грамотности населения необходимо на государственном уровне.</w:t>
      </w: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873">
        <w:rPr>
          <w:rFonts w:ascii="Times New Roman" w:hAnsi="Times New Roman" w:cs="Times New Roman"/>
          <w:sz w:val="24"/>
          <w:szCs w:val="24"/>
        </w:rPr>
        <w:t>В «Национальной программе повышения уровня финансовой грамотности населения Российской Федерации» отмечается, что подготовка молодого человека к разумному финансовому поведению, умению принимать решения в финансовой сфере, обеспечить личную финансовую безопасность и собственное благосостояние, а также способность и готовность внести вклад в развитие экономики, выступает актуальной задачей образования и ресурсом развития государства. Лучшим этапом жизненного цикла человека, на котором ему может быть предоставлена возможность получить навыки финансовой грамотности, является этап получения образования в школе, поскольку в современном мире дети значительно раньше сталкиваются с деньгами, понимают их значение и учатся зарабатывать, школа должна помогать учащимся начинать адаптацию к активной жизни в условиях рынка.</w:t>
      </w: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873">
        <w:rPr>
          <w:rFonts w:ascii="Times New Roman" w:hAnsi="Times New Roman" w:cs="Times New Roman"/>
          <w:sz w:val="24"/>
          <w:szCs w:val="24"/>
        </w:rPr>
        <w:t xml:space="preserve">В нашей школе, </w:t>
      </w:r>
      <w:proofErr w:type="gramStart"/>
      <w:r w:rsidRPr="00417873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417873">
        <w:rPr>
          <w:rFonts w:ascii="Times New Roman" w:hAnsi="Times New Roman" w:cs="Times New Roman"/>
          <w:sz w:val="24"/>
          <w:szCs w:val="24"/>
        </w:rPr>
        <w:t xml:space="preserve"> как и во многих других школах, учащиеся получают знания по основам финансово грамотности в рамках обязательного предмета "Обществознание", а также спецкурсов «Право» и «Экономика». Кроме того, знакомство с финансовой грамотностью происходит и на таких уроках, как математика, география, информатика, технология и др. Во время урочной деятельности для решения практических задач широко применяются задания финансовой направленности, так при знакомстве с электронными таблицами школьники учатся выполнять расчёты затрат на коммунальные услуги (свет, воду, газ); учатся планировать, прогнозировать и экономить семейный бюджет; производят расчёты заработной платы. Хороший опыт ведения хозяйства получают школьники, играя в обучающую игру «ЖЭКА».</w:t>
      </w: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873" w:rsidRPr="00417873" w:rsidRDefault="00417873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89C" w:rsidRPr="00417873" w:rsidRDefault="00D9289C" w:rsidP="00417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289C" w:rsidRPr="0041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BC"/>
    <w:rsid w:val="001F06BC"/>
    <w:rsid w:val="00417873"/>
    <w:rsid w:val="00D9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3E0F"/>
  <w15:chartTrackingRefBased/>
  <w15:docId w15:val="{9D246148-BD87-4385-B2FD-60D4119B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2018-12-24T08:48:00Z</dcterms:created>
  <dcterms:modified xsi:type="dcterms:W3CDTF">2018-12-24T08:51:00Z</dcterms:modified>
</cp:coreProperties>
</file>